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竞争性谈判采购服务清单</w:t>
      </w:r>
    </w:p>
    <w:tbl>
      <w:tblPr>
        <w:tblStyle w:val="3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50"/>
        <w:gridCol w:w="4456"/>
        <w:gridCol w:w="986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参数指标要求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有效期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SSL证书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证书类型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OV 通配符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签发者信息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CFCA OV OCA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，私钥长度为2048，签名算法为sha256withrsa，算法为RSA，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支持99.9%电脑和手机浏览器、系统，支持5G、iPv4及IPV6加密访问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支持一个域名及下属二级域名实现https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44"/>
                <w:lang w:val="en-US" w:eastAsia="zh-CN"/>
              </w:rPr>
              <w:t>生效时间由采购人指定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云解析DNS服务</w:t>
            </w:r>
          </w:p>
        </w:tc>
        <w:tc>
          <w:tcPr>
            <w:tcW w:w="4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100% 月度可用性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DNS节点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中国内地6个、海外15个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子域名托管级别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16级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单主域下解析记录数量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10万条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子域名级数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为20级，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TTL值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为1秒，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包含所有固定智能解析线路，支持自定义IP范围解析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包含所有固定智能解析线路，支持自定义IP范围解析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支持按小时备份</w:t>
            </w:r>
            <w:r>
              <w:rPr>
                <w:rFonts w:hint="eastAsia" w:ascii="仿宋_GB2312" w:hAnsi="仿宋_GB2312" w:cs="仿宋_GB2312"/>
                <w:sz w:val="24"/>
                <w:szCs w:val="4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44"/>
              </w:rPr>
              <w:t>一键还原</w:t>
            </w:r>
            <w:r>
              <w:rPr>
                <w:rFonts w:hint="eastAsia" w:ascii="仿宋_GB2312" w:hAnsi="仿宋_GB2312" w:cs="仿宋_GB2312"/>
                <w:sz w:val="24"/>
                <w:szCs w:val="44"/>
                <w:lang w:eastAsia="zh-CN"/>
              </w:rPr>
              <w:t>。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44"/>
                <w:lang w:val="en-US" w:eastAsia="zh-CN"/>
              </w:rPr>
              <w:t>生效时间由采购人指定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BB80FA"/>
    <w:rsid w:val="5DB65E88"/>
    <w:rsid w:val="A6BB8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line="576" w:lineRule="exact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2025-04-08T00:15:00Z</dcterms:created>
  <dc:creator>ylbzj</dc:creator>
  <cp:lastModifiedBy>ylbzj</cp:lastModifiedBy>
  <dcterms:modified xsi:type="dcterms:W3CDTF">2025-04-07T16:17:54Z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B4BA4E4483E74899328AF367430D8A26</vt:lpwstr>
  </property>
</Properties>
</file>