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0"/>
        <w:jc w:val="left"/>
        <w:rPr>
          <w:rFonts w:ascii="黑体" w:hAnsi="黑体" w:eastAsia="黑体" w:cs="黑体"/>
          <w:szCs w:val="32"/>
        </w:rPr>
      </w:pPr>
      <w:r>
        <w:rPr>
          <w:rFonts w:ascii="黑体" w:hAnsi="黑体" w:eastAsia="黑体" w:cs="黑体"/>
          <w:szCs w:val="32"/>
        </w:rPr>
        <w:t xml:space="preserve">附件 </w:t>
      </w:r>
    </w:p>
    <w:p>
      <w:pPr>
        <w:widowControl/>
        <w:spacing w:line="560" w:lineRule="exact"/>
        <w:ind w:firstLine="0"/>
        <w:jc w:val="center"/>
        <w:rPr>
          <w:rFonts w:ascii="方正小标宋简体" w:hAnsi="仿宋" w:eastAsia="方正小标宋简体" w:cs="黑体"/>
          <w:sz w:val="44"/>
          <w:szCs w:val="44"/>
        </w:rPr>
      </w:pPr>
      <w:r>
        <w:rPr>
          <w:rFonts w:hint="eastAsia" w:ascii="方正小标宋简体" w:hAnsi="仿宋" w:eastAsia="方正小标宋简体" w:cs="黑体"/>
          <w:sz w:val="44"/>
          <w:szCs w:val="44"/>
        </w:rPr>
        <w:t>省管公立医疗机构新型冠状病毒核酸检测价格项目表</w:t>
      </w:r>
    </w:p>
    <w:p>
      <w:pPr>
        <w:spacing w:line="360" w:lineRule="auto"/>
        <w:ind w:firstLine="0"/>
        <w:jc w:val="center"/>
        <w:rPr>
          <w:rFonts w:ascii="方正小标宋简体" w:hAnsi="仿宋_GB2312" w:eastAsia="方正小标宋简体"/>
          <w:color w:val="000000"/>
          <w:kern w:val="0"/>
          <w:sz w:val="21"/>
          <w:szCs w:val="32"/>
        </w:rPr>
      </w:pPr>
    </w:p>
    <w:tbl>
      <w:tblPr>
        <w:tblStyle w:val="5"/>
        <w:tblW w:w="144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127"/>
        <w:gridCol w:w="3685"/>
        <w:gridCol w:w="709"/>
        <w:gridCol w:w="850"/>
        <w:gridCol w:w="709"/>
        <w:gridCol w:w="709"/>
        <w:gridCol w:w="709"/>
        <w:gridCol w:w="708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编 码</w:t>
            </w:r>
          </w:p>
        </w:tc>
        <w:tc>
          <w:tcPr>
            <w:tcW w:w="2127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685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项目内涵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除外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计价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省管公立医疗机构价格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计价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说明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基本医疗保险支付类别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480" w:firstLineChars="20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480" w:firstLineChars="20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480" w:firstLineChars="20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480" w:firstLineChars="20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480" w:firstLineChars="20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三甲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三乙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二甲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二乙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480" w:firstLineChars="20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480" w:firstLineChars="20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  <w:jc w:val="center"/>
        </w:trPr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CLAE8000-LS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病原体核糖核酸扩增定性检测-新型冠状病毒</w:t>
            </w:r>
          </w:p>
        </w:tc>
        <w:tc>
          <w:tcPr>
            <w:tcW w:w="3685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样本类型：各种标本。样本采集、签收、处理（据标本类型不同进行相应的前处理），提取模板RNA，与阴、阳性对照及质控品同时扩增，分析扩增产物，判断并审核结果，录入实验室信息系统或人工登记，发送报告；按规定处理废弃物；接受临床相关咨询。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480" w:firstLineChars="20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人次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不区分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检验方法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甲类诊疗项目</w:t>
            </w:r>
          </w:p>
        </w:tc>
      </w:tr>
    </w:tbl>
    <w:p>
      <w:pPr>
        <w:widowControl/>
        <w:spacing w:line="560" w:lineRule="exact"/>
        <w:ind w:firstLine="0"/>
        <w:jc w:val="center"/>
        <w:rPr>
          <w:rFonts w:ascii="方正小标宋简体" w:hAnsi="仿宋" w:eastAsia="方正小标宋简体" w:cs="黑体"/>
          <w:sz w:val="44"/>
          <w:szCs w:val="44"/>
        </w:rPr>
      </w:pPr>
    </w:p>
    <w:p>
      <w:bookmarkStart w:id="0" w:name="_GoBack"/>
      <w:bookmarkEnd w:id="0"/>
    </w:p>
    <w:sectPr>
      <w:footerReference r:id="rId3" w:type="default"/>
      <w:pgSz w:w="16840" w:h="11907" w:orient="landscape"/>
      <w:pgMar w:top="1191" w:right="1191" w:bottom="1191" w:left="1191" w:header="851" w:footer="992" w:gutter="0"/>
      <w:pgNumType w:start="1"/>
      <w:cols w:space="720" w:num="1"/>
      <w:docGrid w:type="linesAndChars" w:linePitch="58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  <w:jc w:val="right"/>
      <w:rPr>
        <w:rFonts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60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cstheme="minorBidi"/>
      <w:sz w:val="18"/>
      <w:szCs w:val="22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2021-01-22T07:35:06Z</dcterms:created>
  <dc:creator>Administrator</dc:creator>
  <cp:lastModifiedBy>Administrator</cp:lastModifiedBy>
  <dcterms:modified xsi:type="dcterms:W3CDTF">2021-01-22T07:35:27Z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