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四川省</w:t>
      </w:r>
      <w:r>
        <w:rPr>
          <w:rFonts w:hint="eastAsia" w:ascii="方正小标宋简体" w:hAnsi="宋体" w:eastAsia="方正小标宋简体" w:cs="Times New Roman"/>
          <w:sz w:val="44"/>
          <w:szCs w:val="44"/>
        </w:rPr>
        <w:t>医疗保障局</w:t>
      </w:r>
    </w:p>
    <w:p>
      <w:pPr>
        <w:keepNext w:val="0"/>
        <w:keepLines w:val="0"/>
        <w:pageBreakBefore w:val="0"/>
        <w:widowControl w:val="0"/>
        <w:kinsoku/>
        <w:wordWrap/>
        <w:overflowPunct/>
        <w:topLinePunct w:val="0"/>
        <w:autoSpaceDE/>
        <w:autoSpaceDN/>
        <w:bidi w:val="0"/>
        <w:adjustRightInd/>
        <w:snapToGrid/>
        <w:spacing w:before="157" w:beforeLines="50" w:after="313" w:afterLines="100" w:line="580" w:lineRule="exact"/>
        <w:jc w:val="center"/>
        <w:textAlignment w:val="auto"/>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2020年部门预算编制说明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Calibri" w:eastAsia="黑体" w:cs="Times New Roman"/>
          <w:sz w:val="32"/>
          <w:szCs w:val="32"/>
        </w:rPr>
      </w:pPr>
      <w:r>
        <w:rPr>
          <w:rFonts w:hint="eastAsia" w:ascii="黑体" w:hAnsi="Calibri" w:eastAsia="黑体" w:cs="Times New Roman"/>
          <w:sz w:val="32"/>
          <w:szCs w:val="32"/>
        </w:rPr>
        <w:t>一、基本职能及主要工作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Calibri" w:eastAsia="仿宋_GB2312" w:cs="Times New Roman"/>
          <w:kern w:val="2"/>
          <w:sz w:val="32"/>
          <w:szCs w:val="32"/>
          <w:lang w:val="en-US" w:eastAsia="zh-CN" w:bidi="ar-SA"/>
        </w:rPr>
      </w:pPr>
      <w:r>
        <w:rPr>
          <w:rFonts w:hint="eastAsia" w:ascii="楷体_GB2312" w:hAnsi="Calibri" w:eastAsia="楷体_GB2312" w:cs="Times New Roman"/>
          <w:b/>
          <w:kern w:val="2"/>
          <w:sz w:val="32"/>
          <w:szCs w:val="32"/>
          <w:lang w:val="en-US" w:eastAsia="zh-CN" w:bidi="ar-SA"/>
        </w:rPr>
        <w:t>（一）省医保局职能简介。</w:t>
      </w:r>
      <w:r>
        <w:rPr>
          <w:rFonts w:hint="eastAsia" w:ascii="仿宋_GB2312" w:hAnsi="Calibri" w:eastAsia="仿宋_GB2312" w:cs="Times New Roman"/>
          <w:kern w:val="2"/>
          <w:sz w:val="32"/>
          <w:szCs w:val="32"/>
          <w:lang w:val="en-US" w:eastAsia="zh-CN" w:bidi="ar-SA"/>
        </w:rPr>
        <w:t>组织起草医疗保障的地方性法规、规章草案，拟订全省医疗保障事业发展规划、政策和标准;组织拟订并实施医疗保障基金监督管理制度;组织拟订医疗保障筹资和待遇政策；组织拟订全省城乡统一的药品、医用耗材、医疗服务项目、医疗服务设施等医疗保障目录和支付标准；组织拟订药品、医用耗材价格和医疗服务项目、医疗服务设施收费等政策；拟订全省药品、医用耗材的招标采购政策并监督实施；推进医疗保障基金支付方式改革；负责全省医疗保障经办管理和公共服务体系建设；负责规划实施全省医疗保障信息化建设；负责职责范围内的安全生产和职业健康、生态环境保护、审批服务便民化等工作；完善统一的城乡居民基本医疗保险和大病保险制度，建立健全覆盖全民、城乡统筹的多层次医疗保障体系;与省卫生健康委在医疗、医保、医药等方面加强制度、政策衔接，建立沟通协商机制，协同推进改革，提高医疗资源使用效率和医疗保障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Calibri" w:eastAsia="仿宋_GB2312" w:cs="Times New Roman"/>
          <w:kern w:val="2"/>
          <w:sz w:val="32"/>
          <w:szCs w:val="32"/>
          <w:lang w:val="en-US" w:eastAsia="zh-CN" w:bidi="ar-SA"/>
        </w:rPr>
      </w:pPr>
      <w:r>
        <w:rPr>
          <w:rFonts w:hint="eastAsia" w:ascii="楷体_GB2312" w:hAnsi="Calibri" w:eastAsia="楷体_GB2312" w:cs="Times New Roman"/>
          <w:b/>
          <w:kern w:val="2"/>
          <w:sz w:val="32"/>
          <w:szCs w:val="32"/>
          <w:lang w:val="en-US" w:eastAsia="zh-CN" w:bidi="ar-SA"/>
        </w:rPr>
        <w:t>（二）省医保局2020年重点工作。</w:t>
      </w:r>
      <w:r>
        <w:rPr>
          <w:rFonts w:hint="eastAsia" w:ascii="仿宋_GB2312" w:hAnsi="Calibri" w:eastAsia="仿宋_GB2312" w:cs="Times New Roman"/>
          <w:kern w:val="2"/>
          <w:sz w:val="32"/>
          <w:szCs w:val="32"/>
          <w:lang w:val="en-US" w:eastAsia="zh-CN" w:bidi="ar-SA"/>
        </w:rPr>
        <w:t>2020年重点工作是：坚决打赢医保脱贫攻坚战，推动完善医保制度政策体系，深入开展打击欺诈骗保行动，改革药品耗材集中采购机制，健全医药价格调整监管机制，进一步强化医保目录管理，深入推进医保支付方式改革，基本建成全省统一的信息系统，提升医保规划和法治化能力，提升医保公共服务能力和水平，抓好人才队伍及能力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Calibri" w:eastAsia="黑体" w:cs="Times New Roman"/>
          <w:sz w:val="32"/>
          <w:szCs w:val="32"/>
        </w:rPr>
      </w:pPr>
      <w:r>
        <w:rPr>
          <w:rFonts w:hint="eastAsia" w:ascii="黑体" w:hAnsi="Calibri" w:eastAsia="黑体" w:cs="Times New Roman"/>
          <w:sz w:val="32"/>
          <w:szCs w:val="32"/>
        </w:rPr>
        <w:t>二、部门预算单位构成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省医保局下属二级预算单位4个，其中行政单位1个，参照公务员法管理的事业单位1个，其他事业单位2个。主要包括：四川省医疗保障局、四川省医疗保障事务中心、四川省医疗保险异地结算中心、四川省药械招标采购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Calibri" w:eastAsia="黑体" w:cs="Times New Roman"/>
          <w:sz w:val="32"/>
          <w:szCs w:val="32"/>
        </w:rPr>
      </w:pPr>
      <w:r>
        <w:rPr>
          <w:rFonts w:hint="eastAsia" w:ascii="黑体" w:hAnsi="Calibri" w:eastAsia="黑体" w:cs="Times New Roman"/>
          <w:sz w:val="32"/>
          <w:szCs w:val="32"/>
        </w:rPr>
        <w:t>三、收支预算情况说明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按照综合预算的原则，省医保局所有收入和支出均纳入部门预算管理。收入包括：一般公共预算拨款收入和上年结转；支出包括：</w:t>
      </w:r>
      <w:bookmarkStart w:id="0" w:name="_GoBack"/>
      <w:bookmarkEnd w:id="0"/>
      <w:r>
        <w:rPr>
          <w:rFonts w:hint="eastAsia" w:ascii="仿宋_GB2312" w:hAnsi="Calibri" w:eastAsia="仿宋_GB2312" w:cs="Times New Roman"/>
          <w:sz w:val="32"/>
          <w:szCs w:val="32"/>
        </w:rPr>
        <w:t>教育支出、社会保障和就业支出、卫生健康支出、住房保障支出。省医保局2020年收支总预算13264.29万元,比2019年收支预算总数增加8644.76万元，主要原因是：由于机构改革，省药械招标采购服务中心和省医疗保险异地结算中心2019年年初部门预算均未纳入省医疗保障局安排；2019年中央转移支付用于全省医保信息系统建设的专项资金结转2020年使用，纳入2020年年初部门预算安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Calibri" w:eastAsia="楷体_GB2312" w:cs="Times New Roman"/>
          <w:b/>
          <w:kern w:val="2"/>
          <w:sz w:val="32"/>
          <w:szCs w:val="32"/>
          <w:lang w:val="en-US" w:eastAsia="zh-CN" w:bidi="ar-SA"/>
        </w:rPr>
      </w:pPr>
      <w:r>
        <w:rPr>
          <w:rFonts w:hint="eastAsia" w:ascii="楷体_GB2312" w:hAnsi="Calibri" w:eastAsia="楷体_GB2312" w:cs="Times New Roman"/>
          <w:b/>
          <w:kern w:val="2"/>
          <w:sz w:val="32"/>
          <w:szCs w:val="32"/>
          <w:lang w:val="en-US" w:eastAsia="zh-CN" w:bidi="ar-SA"/>
        </w:rPr>
        <w:t>（一）收入预算情况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省医保局2020年收入预算13264.29万元，其中：上年结转8261.72万元，占62.29%；一般公共预算拨款收入5002.57万元，占37.71%。</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Calibri" w:eastAsia="楷体_GB2312" w:cs="Times New Roman"/>
          <w:b/>
          <w:kern w:val="2"/>
          <w:sz w:val="32"/>
          <w:szCs w:val="32"/>
          <w:lang w:val="en-US" w:eastAsia="zh-CN" w:bidi="ar-SA"/>
        </w:rPr>
      </w:pPr>
      <w:r>
        <w:rPr>
          <w:rFonts w:hint="eastAsia" w:ascii="楷体_GB2312" w:hAnsi="Calibri" w:eastAsia="楷体_GB2312" w:cs="Times New Roman"/>
          <w:b/>
          <w:kern w:val="2"/>
          <w:sz w:val="32"/>
          <w:szCs w:val="32"/>
          <w:lang w:val="en-US" w:eastAsia="zh-CN" w:bidi="ar-SA"/>
        </w:rPr>
        <w:t>（二）支出预算情况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省医保局2020年支出预算13264.29万元，其中：基本支出2342.72万元，占17.66%；项目支出10921.57万元，占82.34%。</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Calibri" w:eastAsia="黑体" w:cs="Times New Roman"/>
          <w:sz w:val="32"/>
          <w:szCs w:val="32"/>
        </w:rPr>
      </w:pPr>
      <w:r>
        <w:rPr>
          <w:rFonts w:hint="eastAsia" w:ascii="黑体" w:hAnsi="Calibri" w:eastAsia="黑体" w:cs="Times New Roman"/>
          <w:sz w:val="32"/>
          <w:szCs w:val="32"/>
        </w:rPr>
        <w:t>四、财政拨款收支预算情况说明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省医保局2020年财政拨款收支总预算13264.29万元,比2019年财政拨款收支总预算增加8644.76万元，主要原因是：由于机构改革，省药械招标采购服务中心和省医疗保险异地结算中心2019年年初部门预算均未纳入省医疗保障局安排；2019年中央转移支付用于全省医保信息系统建设的专项资金结转2020年使用，纳入2020年年初部门预算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收入包括：本年一般公共预算拨款收入5002.57万元、上年一般公共预算拨款结转8261.72万元；支出包括：教育支出123.20万元、社会保障和就业支出177.61万元、卫生健康支出12776.73万元、住房保障支出186.75万元。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Calibri" w:eastAsia="黑体" w:cs="Times New Roman"/>
          <w:sz w:val="32"/>
          <w:szCs w:val="32"/>
        </w:rPr>
      </w:pPr>
      <w:r>
        <w:rPr>
          <w:rFonts w:hint="eastAsia" w:ascii="黑体" w:hAnsi="Calibri" w:eastAsia="黑体" w:cs="Times New Roman"/>
          <w:sz w:val="32"/>
          <w:szCs w:val="32"/>
        </w:rPr>
        <w:t>五、一般公共预算当年拨款情况说明</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Calibri" w:eastAsia="楷体_GB2312" w:cs="Times New Roman"/>
          <w:b/>
          <w:kern w:val="2"/>
          <w:sz w:val="32"/>
          <w:szCs w:val="32"/>
          <w:lang w:val="en-US" w:eastAsia="zh-CN" w:bidi="ar-SA"/>
        </w:rPr>
      </w:pPr>
      <w:r>
        <w:rPr>
          <w:rFonts w:hint="eastAsia" w:ascii="楷体_GB2312" w:hAnsi="Calibri" w:eastAsia="楷体_GB2312" w:cs="Times New Roman"/>
          <w:b/>
          <w:kern w:val="2"/>
          <w:sz w:val="32"/>
          <w:szCs w:val="32"/>
          <w:lang w:val="en-US" w:eastAsia="zh-CN" w:bidi="ar-SA"/>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省医保局2020年一般公共预算当年拨款5002.57万元，比2019年预算数增加448.04万元，主要原因是：由于机构改革，省药械招标采购服务中心和省医疗保险异地结算中心2019年年初部门预算均未纳入省医疗保障局安排。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Calibri" w:eastAsia="楷体_GB2312" w:cs="Times New Roman"/>
          <w:b/>
          <w:kern w:val="2"/>
          <w:sz w:val="32"/>
          <w:szCs w:val="32"/>
          <w:lang w:val="en-US" w:eastAsia="zh-CN" w:bidi="ar-SA"/>
        </w:rPr>
      </w:pPr>
      <w:r>
        <w:rPr>
          <w:rFonts w:hint="eastAsia" w:ascii="楷体_GB2312" w:hAnsi="Calibri" w:eastAsia="楷体_GB2312" w:cs="Times New Roman"/>
          <w:b/>
          <w:kern w:val="2"/>
          <w:sz w:val="32"/>
          <w:szCs w:val="32"/>
          <w:lang w:val="en-US" w:eastAsia="zh-CN" w:bidi="ar-SA"/>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教育支出123.2万元，占2.46%；社会保障和就业支出177.61万元，占3.55%；卫生健康支出4515.01万元，占90.26%；住房保障支出186.75万元，占3.73%。</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Calibri" w:eastAsia="楷体_GB2312" w:cs="Times New Roman"/>
          <w:b/>
          <w:kern w:val="2"/>
          <w:sz w:val="32"/>
          <w:szCs w:val="32"/>
          <w:lang w:val="en-US" w:eastAsia="zh-CN" w:bidi="ar-SA"/>
        </w:rPr>
      </w:pPr>
      <w:r>
        <w:rPr>
          <w:rFonts w:hint="eastAsia" w:ascii="楷体_GB2312" w:hAnsi="Calibri" w:eastAsia="楷体_GB2312" w:cs="Times New Roman"/>
          <w:b/>
          <w:kern w:val="2"/>
          <w:sz w:val="32"/>
          <w:szCs w:val="32"/>
          <w:lang w:val="en-US" w:eastAsia="zh-CN" w:bidi="ar-SA"/>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1.教育支出（类）进修及培训（款）培训支出（项）2020年预算数为123.2万元，主要用于：开展医疗保障各项业务培训。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2.社会保障和就业支出（类）行政事业单位养老支出（款）机关事业单位基本养老保险缴费支出（项）2020年预算数为158.08万元，主要用于：在职职工基本养老保险缴费支出。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3.社会保障和就业支出（类）行政事业单位养老支出（款）机关事业单位职业年金缴费支出（项）2020年预算数为19.53万元，主要用于：在职职工职业年金缴费支出。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4.卫生健康支出（类）行政事业单位医疗（款）行政单位医疗（项）2020年预算数为82.42万元，主要用于：行政和参公单位在职职工医疗保险缴费。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5.卫生健康支出（类）行政事业单位医疗（款）公务员医疗补助（项）2020年预算数为16.93万元，主要用于：行政和参公单位在职职工及退休人员公务员医疗补助支出。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6.卫生健康支出（类）行政事业单位医疗（款）事业单位医疗（项）2020年预算数为29.73万元，主要用于：事业单位在职职工医疗保险缴费支出。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7.卫生健康支出（类）医疗保障管理事务（款）行政运行（项）2020年预算数为874.67万元，主要用于：行政单位在职职工工资、津贴及保障机构正常运转、开展日常工作的差旅费、会议费、物业管理费、设施设备维修费等基本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8.卫生健康支出（类）医疗保障管理事务（款）一般行政管理事务（项）2020年预算数为96.68万元，主要用于：行政单位办公用房及网络租赁、办公设备购置、政策宣传等支出。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9.卫生健康支出（类）医疗保障管理事务（款）信息化建设（项）2020年预算数为351.31万元，主要用于：OA系统、门户网站、微信公众号、医保参保及结算等信息系统建设与维护。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10.卫生健康支出（类）医疗保障管理事务（款）医疗保障政策管理（项）2020年预算数为454.35万元，主要用于：医疗保障基金监管、医药价格监测和招标采购、医疗保障服务能力提升、异地就医结算、药械招标采购监管等项目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11.卫生健康支出（类）医疗保障管理事务（款）医疗保障经办事务（项）2020年预算数为783.96万元，主要用于：开展省本级医疗保险经办服务、省本级及跨省异地就医即时结算等工作。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12.卫生健康支出（类）医疗保障管理事务（款）事业运行（项）2020年预算数为324.96万元，主要用于：事业单位在职职工工资、津贴及保障机构正常运转、开展日常工作的基本支出。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13.住房保障支出（类）住房改革支出（款）住房公积金（项）2020年预算数为139.51万元，主要用于：缴纳在职职工住房公积金支出。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14.住房保障支出（类）住房改革支出（款）购房补贴（项）2020年预算数为47.24万元，主要用于：符合条件的在职职工购房补贴支出。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Calibri" w:eastAsia="黑体" w:cs="Times New Roman"/>
          <w:sz w:val="32"/>
          <w:szCs w:val="32"/>
        </w:rPr>
      </w:pPr>
      <w:r>
        <w:rPr>
          <w:rFonts w:hint="eastAsia" w:ascii="黑体" w:hAnsi="Calibri" w:eastAsia="黑体" w:cs="Times New Roman"/>
          <w:sz w:val="32"/>
          <w:szCs w:val="32"/>
        </w:rPr>
        <w:t>六、一般公共预算基本支出情况说明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省医保局2020年一般公共预算基本支出2342.72万元，其中：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人员经费1444.42万元，主要包括：基本工资、津贴补贴、奖金、绩效工资、机关事业单位养老保险缴费、职工基本医疗保险缴费、公务员医疗补助缴费、职业年金缴费、其他社会保障缴费、住房公积金、奖励金、其他工资福利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公用经费898.3万元，主要包括：办公费、印刷费、手续费、水费、电费、邮电费、物业管理费、差旅费、因公出国（境）经费、维修（护）费、会议费、培训费、公务接待费、工会经费、劳务费、福利费、公务用车运行维护费、其他交通费用、其他商品和服务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Calibri" w:eastAsia="黑体" w:cs="Times New Roman"/>
          <w:sz w:val="32"/>
          <w:szCs w:val="32"/>
        </w:rPr>
      </w:pPr>
      <w:r>
        <w:rPr>
          <w:rFonts w:hint="eastAsia" w:ascii="黑体" w:hAnsi="Calibri" w:eastAsia="黑体" w:cs="Times New Roman"/>
          <w:sz w:val="32"/>
          <w:szCs w:val="32"/>
        </w:rPr>
        <w:t>七、“三公”经费财政拨款预算安排情况说明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省医保局2020年“三公”经费财政拨款预算数82万元，其中：因公出国（境）经费42万元、公务接待费7万元，公务用车购置及运行维护费33万元。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Calibri" w:eastAsia="仿宋_GB2312" w:cs="Times New Roman"/>
          <w:sz w:val="32"/>
          <w:szCs w:val="32"/>
        </w:rPr>
      </w:pPr>
      <w:r>
        <w:rPr>
          <w:rFonts w:hint="eastAsia" w:ascii="楷体_GB2312" w:hAnsi="Calibri" w:eastAsia="楷体_GB2312" w:cs="Times New Roman"/>
          <w:b/>
          <w:kern w:val="2"/>
          <w:sz w:val="32"/>
          <w:szCs w:val="32"/>
          <w:lang w:val="en-US" w:eastAsia="zh-CN" w:bidi="ar-SA"/>
        </w:rPr>
        <w:t>（一）因公出国（境）经费较2019年预算下降6.67%。</w:t>
      </w:r>
      <w:r>
        <w:rPr>
          <w:rFonts w:hint="eastAsia" w:ascii="仿宋_GB2312" w:hAnsi="Calibri" w:eastAsia="仿宋_GB2312" w:cs="Times New Roman"/>
          <w:sz w:val="32"/>
          <w:szCs w:val="32"/>
        </w:rPr>
        <w:t>主要原因是提倡厉行节约，压减不必要的因公出国。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2020年因公出国（境）经费计划用于赴丹麦、比利时、瑞典等国家和地区开展医疗保障制度培训学习。</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Calibri" w:eastAsia="仿宋_GB2312" w:cs="Times New Roman"/>
          <w:sz w:val="32"/>
          <w:szCs w:val="32"/>
        </w:rPr>
      </w:pPr>
      <w:r>
        <w:rPr>
          <w:rFonts w:hint="eastAsia" w:ascii="楷体_GB2312" w:hAnsi="Calibri" w:eastAsia="楷体_GB2312" w:cs="Times New Roman"/>
          <w:b/>
          <w:kern w:val="2"/>
          <w:sz w:val="32"/>
          <w:szCs w:val="32"/>
          <w:lang w:val="en-US" w:eastAsia="zh-CN" w:bidi="ar-SA"/>
        </w:rPr>
        <w:t>（二）公务接待费较2019年预算下降41.67%。</w:t>
      </w:r>
      <w:r>
        <w:rPr>
          <w:rFonts w:hint="eastAsia" w:ascii="仿宋_GB2312" w:hAnsi="Calibri" w:eastAsia="仿宋_GB2312" w:cs="Times New Roman"/>
          <w:sz w:val="32"/>
          <w:szCs w:val="32"/>
        </w:rPr>
        <w:t>主要原因是提倡厉行节约，大幅压减不必要的公务接待。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2020年公务接待费计划用于上级主管部门检查、调研，省际部门间工作交流等。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Calibri" w:eastAsia="仿宋_GB2312" w:cs="Times New Roman"/>
          <w:sz w:val="32"/>
          <w:szCs w:val="32"/>
        </w:rPr>
      </w:pPr>
      <w:r>
        <w:rPr>
          <w:rFonts w:hint="eastAsia" w:ascii="楷体_GB2312" w:hAnsi="Calibri" w:eastAsia="楷体_GB2312" w:cs="Times New Roman"/>
          <w:b/>
          <w:kern w:val="2"/>
          <w:sz w:val="32"/>
          <w:szCs w:val="32"/>
          <w:lang w:val="en-US" w:eastAsia="zh-CN" w:bidi="ar-SA"/>
        </w:rPr>
        <w:t>（三）公务用车购置及运行维护费较2019年预算增长58.65%。</w:t>
      </w:r>
      <w:r>
        <w:rPr>
          <w:rFonts w:hint="eastAsia" w:ascii="仿宋_GB2312" w:hAnsi="Calibri" w:eastAsia="仿宋_GB2312" w:cs="Times New Roman"/>
          <w:sz w:val="32"/>
          <w:szCs w:val="32"/>
        </w:rPr>
        <w:t>主要原因是由于机构改革，省药械招标采购服务中心和省医疗保险异地结算中心2019年年初部门预算均未纳入省医疗保障局安排；省医疗保障局2020年新增配置一辆公务用车。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单位现有公务用车7辆，其中：轿车6辆，越野车1辆。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2020年未安排公务用车购置费。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2020年安排公务用车运行维护费33万元，用于7辆公务用车燃油、维修、保险等方面支出，主要保障医疗保障各项业务、调研及专项检查、督导等工作开展。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Calibri" w:eastAsia="黑体" w:cs="Times New Roman"/>
          <w:sz w:val="32"/>
          <w:szCs w:val="32"/>
        </w:rPr>
      </w:pPr>
      <w:r>
        <w:rPr>
          <w:rFonts w:hint="eastAsia" w:ascii="黑体" w:hAnsi="Calibri" w:eastAsia="黑体" w:cs="Times New Roman"/>
          <w:sz w:val="32"/>
          <w:szCs w:val="32"/>
        </w:rPr>
        <w:t>八、政府性基金预算支出情况说明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省医保局2020年没有使用政府性基金预算拨款安排的支出。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Calibri" w:eastAsia="黑体" w:cs="Times New Roman"/>
          <w:sz w:val="32"/>
          <w:szCs w:val="32"/>
        </w:rPr>
      </w:pPr>
      <w:r>
        <w:rPr>
          <w:rFonts w:hint="eastAsia" w:ascii="黑体" w:hAnsi="Calibri" w:eastAsia="黑体" w:cs="Times New Roman"/>
          <w:sz w:val="32"/>
          <w:szCs w:val="32"/>
        </w:rPr>
        <w:t>九、国有资本经营预算支出情况说明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省医保局2020年没有使用国有资本经营预算拨款安排的支出。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Calibri" w:eastAsia="黑体" w:cs="Times New Roman"/>
          <w:sz w:val="32"/>
          <w:szCs w:val="32"/>
        </w:rPr>
      </w:pPr>
      <w:r>
        <w:rPr>
          <w:rFonts w:hint="eastAsia" w:ascii="黑体" w:hAnsi="Calibri" w:eastAsia="黑体" w:cs="Times New Roman"/>
          <w:sz w:val="32"/>
          <w:szCs w:val="32"/>
        </w:rPr>
        <w:t>十、其他重要事项的情况说明</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Calibri" w:eastAsia="楷体_GB2312" w:cs="Times New Roman"/>
          <w:b/>
          <w:kern w:val="2"/>
          <w:sz w:val="32"/>
          <w:szCs w:val="32"/>
          <w:lang w:val="en-US" w:eastAsia="zh-CN" w:bidi="ar-SA"/>
        </w:rPr>
      </w:pPr>
      <w:r>
        <w:rPr>
          <w:rFonts w:hint="eastAsia" w:ascii="楷体_GB2312" w:hAnsi="Calibri" w:eastAsia="楷体_GB2312" w:cs="Times New Roman"/>
          <w:b/>
          <w:kern w:val="2"/>
          <w:sz w:val="32"/>
          <w:szCs w:val="32"/>
          <w:lang w:val="en-US" w:eastAsia="zh-CN" w:bidi="ar-SA"/>
        </w:rPr>
        <w:t>（一）机关运行经费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2020年，省医保局下属四川省医疗保障局1家行政单位以及四川省医疗保障事务中心1家参公管理事业单位的机关运行经费财政拨款预算为746.68万元，比2019年预算增加130.44万元，增长21.17%。主要原因是机构改革完成后，机关和直属单位编制内人员逐步到位，导致人员经费增加。</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Calibri" w:eastAsia="楷体_GB2312" w:cs="Times New Roman"/>
          <w:b/>
          <w:kern w:val="2"/>
          <w:sz w:val="32"/>
          <w:szCs w:val="32"/>
          <w:lang w:val="en-US" w:eastAsia="zh-CN" w:bidi="ar-SA"/>
        </w:rPr>
      </w:pPr>
      <w:r>
        <w:rPr>
          <w:rFonts w:hint="eastAsia" w:ascii="楷体_GB2312" w:hAnsi="Calibri" w:eastAsia="楷体_GB2312" w:cs="Times New Roman"/>
          <w:b/>
          <w:kern w:val="2"/>
          <w:sz w:val="32"/>
          <w:szCs w:val="32"/>
          <w:lang w:val="en-US" w:eastAsia="zh-CN" w:bidi="ar-SA"/>
        </w:rPr>
        <w:t>（二）政府采购情况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2020年，省医保局安排政府采购预算8510.67万元，主要用于采购办公设备、信息系统集成服务和车辆加油、保险、维修。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Calibri" w:eastAsia="楷体_GB2312" w:cs="Times New Roman"/>
          <w:b/>
          <w:kern w:val="2"/>
          <w:sz w:val="32"/>
          <w:szCs w:val="32"/>
          <w:lang w:val="en-US" w:eastAsia="zh-CN" w:bidi="ar-SA"/>
        </w:rPr>
      </w:pPr>
      <w:r>
        <w:rPr>
          <w:rFonts w:hint="eastAsia" w:ascii="楷体_GB2312" w:hAnsi="Calibri" w:eastAsia="楷体_GB2312" w:cs="Times New Roman"/>
          <w:b/>
          <w:kern w:val="2"/>
          <w:sz w:val="32"/>
          <w:szCs w:val="32"/>
          <w:lang w:val="en-US" w:eastAsia="zh-CN" w:bidi="ar-SA"/>
        </w:rPr>
        <w:t>（三）国有资产占有使用情况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截至2019年底，省医保局所属各预算单位共有车辆7辆，其中，省部级领导干部用车0辆、定向保障用车7辆、执法执勤用车0辆。单位价值200万元以上大型设备0台（套）。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2020年部门预算未安排购置车辆及单位价值200万元以上大型设备。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Calibri" w:eastAsia="楷体_GB2312" w:cs="Times New Roman"/>
          <w:b/>
          <w:kern w:val="2"/>
          <w:sz w:val="32"/>
          <w:szCs w:val="32"/>
          <w:lang w:val="en-US" w:eastAsia="zh-CN" w:bidi="ar-SA"/>
        </w:rPr>
      </w:pPr>
      <w:r>
        <w:rPr>
          <w:rFonts w:hint="eastAsia" w:ascii="楷体_GB2312" w:hAnsi="Calibri" w:eastAsia="楷体_GB2312" w:cs="Times New Roman"/>
          <w:b/>
          <w:kern w:val="2"/>
          <w:sz w:val="32"/>
          <w:szCs w:val="32"/>
          <w:lang w:val="en-US" w:eastAsia="zh-CN" w:bidi="ar-SA"/>
        </w:rPr>
        <w:t>（四）绩效目标设置情况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绩效目标是预算编制的前提和基础，按照“费随事定”的原则，2020年省医保局100万元以上项目按要求编制了绩效目标,从项目完成、项目效益、满意度等方面设置了绩效指标，综合反映项目预期完成的数量、成本、时效、质量，预期达到的社会效益、经济效益、生态效益、可持续影响以及服务对象满意度等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Calibri" w:eastAsia="黑体" w:cs="Times New Roman"/>
          <w:sz w:val="32"/>
          <w:szCs w:val="32"/>
        </w:rPr>
      </w:pPr>
      <w:r>
        <w:rPr>
          <w:rFonts w:hint="eastAsia" w:ascii="黑体" w:hAnsi="Calibri" w:eastAsia="黑体" w:cs="Times New Roman"/>
          <w:sz w:val="32"/>
          <w:szCs w:val="32"/>
        </w:rPr>
        <w:t>十一、名词解释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Calibri" w:eastAsia="楷体_GB2312" w:cs="Times New Roman"/>
          <w:b/>
          <w:kern w:val="2"/>
          <w:sz w:val="32"/>
          <w:szCs w:val="32"/>
          <w:lang w:val="en-US" w:eastAsia="zh-CN" w:bidi="ar-SA"/>
        </w:rPr>
      </w:pPr>
      <w:r>
        <w:rPr>
          <w:rFonts w:hint="eastAsia" w:ascii="楷体_GB2312" w:hAnsi="Calibri" w:eastAsia="楷体_GB2312" w:cs="Times New Roman"/>
          <w:b/>
          <w:kern w:val="2"/>
          <w:sz w:val="32"/>
          <w:szCs w:val="32"/>
          <w:lang w:val="en-US" w:eastAsia="zh-CN" w:bidi="ar-SA"/>
        </w:rPr>
        <w:t>（一）一般公共预算拨款收入：</w:t>
      </w:r>
      <w:r>
        <w:rPr>
          <w:rFonts w:hint="eastAsia" w:ascii="仿宋_GB2312" w:hAnsi="Calibri" w:eastAsia="仿宋_GB2312" w:cs="Times New Roman"/>
          <w:sz w:val="32"/>
          <w:szCs w:val="32"/>
          <w:lang w:val="en-US" w:eastAsia="zh-CN"/>
        </w:rPr>
        <w:t>指财政当年拨付的资金。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Calibri" w:eastAsia="仿宋_GB2312" w:cs="Times New Roman"/>
          <w:sz w:val="32"/>
          <w:szCs w:val="32"/>
          <w:lang w:val="en-US" w:eastAsia="zh-CN"/>
        </w:rPr>
      </w:pPr>
      <w:r>
        <w:rPr>
          <w:rFonts w:hint="eastAsia" w:ascii="楷体_GB2312" w:hAnsi="Calibri" w:eastAsia="楷体_GB2312" w:cs="Times New Roman"/>
          <w:b/>
          <w:kern w:val="2"/>
          <w:sz w:val="32"/>
          <w:szCs w:val="32"/>
          <w:lang w:val="en-US" w:eastAsia="zh-CN" w:bidi="ar-SA"/>
        </w:rPr>
        <w:t>（二）基本支出：</w:t>
      </w:r>
      <w:r>
        <w:rPr>
          <w:rFonts w:hint="eastAsia" w:ascii="仿宋_GB2312" w:hAnsi="Calibri" w:eastAsia="仿宋_GB2312" w:cs="Times New Roman"/>
          <w:sz w:val="32"/>
          <w:szCs w:val="32"/>
          <w:lang w:val="en-US" w:eastAsia="zh-CN"/>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Calibri" w:eastAsia="仿宋_GB2312" w:cs="Times New Roman"/>
          <w:sz w:val="32"/>
          <w:szCs w:val="32"/>
          <w:lang w:val="en-US" w:eastAsia="zh-CN"/>
        </w:rPr>
      </w:pPr>
      <w:r>
        <w:rPr>
          <w:rFonts w:hint="eastAsia" w:ascii="楷体_GB2312" w:hAnsi="Calibri" w:eastAsia="楷体_GB2312" w:cs="Times New Roman"/>
          <w:b/>
          <w:kern w:val="2"/>
          <w:sz w:val="32"/>
          <w:szCs w:val="32"/>
          <w:lang w:val="en-US" w:eastAsia="zh-CN" w:bidi="ar-SA"/>
        </w:rPr>
        <w:t>（三）项目支出：</w:t>
      </w:r>
      <w:r>
        <w:rPr>
          <w:rFonts w:hint="eastAsia" w:ascii="仿宋_GB2312" w:hAnsi="Calibri" w:eastAsia="仿宋_GB2312" w:cs="Times New Roman"/>
          <w:sz w:val="32"/>
          <w:szCs w:val="32"/>
          <w:lang w:val="en-US" w:eastAsia="zh-CN"/>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Calibri" w:eastAsia="仿宋_GB2312" w:cs="Times New Roman"/>
          <w:sz w:val="32"/>
          <w:szCs w:val="32"/>
          <w:lang w:val="en-US" w:eastAsia="zh-CN"/>
        </w:rPr>
      </w:pPr>
      <w:r>
        <w:rPr>
          <w:rFonts w:hint="eastAsia" w:ascii="楷体_GB2312" w:hAnsi="Calibri" w:eastAsia="楷体_GB2312" w:cs="Times New Roman"/>
          <w:b/>
          <w:kern w:val="2"/>
          <w:sz w:val="32"/>
          <w:szCs w:val="32"/>
          <w:lang w:val="en-US" w:eastAsia="zh-CN" w:bidi="ar-SA"/>
        </w:rPr>
        <w:t>（四）“三公”经费：</w:t>
      </w:r>
      <w:r>
        <w:rPr>
          <w:rFonts w:hint="eastAsia" w:ascii="仿宋_GB2312" w:hAnsi="Calibri" w:eastAsia="仿宋_GB2312" w:cs="Times New Roman"/>
          <w:sz w:val="32"/>
          <w:szCs w:val="32"/>
          <w:lang w:val="en-US" w:eastAsia="zh-CN"/>
        </w:rPr>
        <w:t>纳入财政预决算管理的“三公”经费，是指部门用财政拨款安排的因公出国（境）经费、公务用车购置及运行维护费和公务接待费。其中，因公出国（境）经费反映单位公务出国（境）的住宿费、国际旅费、伙食补助费、公杂费、培训费等支出；公务用车购置及运行维护费反映单位公务用车购置费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Calibri" w:eastAsia="仿宋_GB2312" w:cs="Times New Roman"/>
          <w:sz w:val="32"/>
          <w:szCs w:val="32"/>
          <w:lang w:val="en-US" w:eastAsia="zh-CN"/>
        </w:rPr>
      </w:pPr>
      <w:r>
        <w:rPr>
          <w:rFonts w:hint="eastAsia" w:ascii="楷体_GB2312" w:hAnsi="Calibri" w:eastAsia="楷体_GB2312" w:cs="Times New Roman"/>
          <w:b/>
          <w:kern w:val="2"/>
          <w:sz w:val="32"/>
          <w:szCs w:val="32"/>
          <w:lang w:val="en-US" w:eastAsia="zh-CN" w:bidi="ar-SA"/>
        </w:rPr>
        <w:t>（五）机关运行经费：</w:t>
      </w:r>
      <w:r>
        <w:rPr>
          <w:rFonts w:hint="eastAsia" w:ascii="仿宋_GB2312" w:hAnsi="Calibri" w:eastAsia="仿宋_GB2312" w:cs="Times New Roman"/>
          <w:sz w:val="32"/>
          <w:szCs w:val="32"/>
          <w:lang w:val="en-US" w:eastAsia="zh-CN"/>
        </w:rPr>
        <w:t>为保障行政单位运行用于购买货物和服务的各项支出，包括：办公费、印刷费、水电费、邮电费、差旅费、维修(护)费、会议费、办公设备购置费、福利费、物业管理费、租赁费、公务用车运行维护费及其他费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附件：表1.部门收支总表</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表1-1.部门收入总表</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表1-2.部门支出总表（均需首行缩进）</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表2.财政拨款收支预算总表</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表2-1.财政拨款支出预算表（政府经济分类科目）</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表3.一般公共预算支出预算表</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表3-1.一般公共预算基本支出预算表</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表3-2.一般公共预算项目支出预算表</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表3-3.一般公共预算“三公”经费支出预算表</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表4.政府性基金支出预算表</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表4-1.政府性基金预算“三公”经费支出预算表</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表5.国有资本经营预算支出预算表</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表6.2020年省级部门预算项目绩效目标</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表7.2020年专项预算项目绩效目标申报表</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Calibri" w:eastAsia="仿宋_GB2312"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F4DAF"/>
    <w:rsid w:val="03C12479"/>
    <w:rsid w:val="0A4C6FAE"/>
    <w:rsid w:val="0C9C01F6"/>
    <w:rsid w:val="0D8F1ED1"/>
    <w:rsid w:val="0F71270E"/>
    <w:rsid w:val="113B7E23"/>
    <w:rsid w:val="141B0254"/>
    <w:rsid w:val="1616340C"/>
    <w:rsid w:val="1A037E10"/>
    <w:rsid w:val="1A77110F"/>
    <w:rsid w:val="1E694D24"/>
    <w:rsid w:val="1E8D0349"/>
    <w:rsid w:val="21507E9B"/>
    <w:rsid w:val="2A460310"/>
    <w:rsid w:val="2AB46CC7"/>
    <w:rsid w:val="373B01CC"/>
    <w:rsid w:val="42074D1E"/>
    <w:rsid w:val="433E3DE3"/>
    <w:rsid w:val="44793D94"/>
    <w:rsid w:val="47474296"/>
    <w:rsid w:val="4F015DE1"/>
    <w:rsid w:val="4F0228B7"/>
    <w:rsid w:val="52910700"/>
    <w:rsid w:val="578C1943"/>
    <w:rsid w:val="589B0387"/>
    <w:rsid w:val="59DF4DAF"/>
    <w:rsid w:val="5AB36471"/>
    <w:rsid w:val="62BF239A"/>
    <w:rsid w:val="67142745"/>
    <w:rsid w:val="691F4FE9"/>
    <w:rsid w:val="6B607130"/>
    <w:rsid w:val="71745BE1"/>
    <w:rsid w:val="71A979BA"/>
    <w:rsid w:val="7CE43438"/>
    <w:rsid w:val="7D7951A6"/>
    <w:rsid w:val="7EC70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2021-07-12T09:09:00Z</dcterms:created>
  <dc:creator>oh 。</dc:creator>
  <cp:lastModifiedBy>oh 。</cp:lastModifiedBy>
  <dcterms:modified xsi:type="dcterms:W3CDTF">2021-07-12T09:38:40Z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